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C72DC" w:rsidRDefault="00D245D5" w:rsidP="006142CF">
      <w:pPr>
        <w:spacing w:after="0"/>
        <w:jc w:val="center"/>
        <w:rPr>
          <w:rFonts w:ascii="Arial" w:hAnsi="Arial" w:cs="Arial"/>
        </w:rPr>
      </w:pPr>
      <w:r w:rsidRPr="008C72DC">
        <w:rPr>
          <w:rFonts w:ascii="Arial" w:hAnsi="Arial" w:cs="Arial"/>
        </w:rPr>
        <w:t xml:space="preserve">Αρ. </w:t>
      </w:r>
      <w:proofErr w:type="spellStart"/>
      <w:r w:rsidRPr="008C72DC">
        <w:rPr>
          <w:rFonts w:ascii="Arial" w:hAnsi="Arial" w:cs="Arial"/>
        </w:rPr>
        <w:t>Πρωτ</w:t>
      </w:r>
      <w:proofErr w:type="spellEnd"/>
      <w:r w:rsidRPr="008C72DC">
        <w:rPr>
          <w:rFonts w:ascii="Arial" w:hAnsi="Arial" w:cs="Arial"/>
        </w:rPr>
        <w:t>.:</w:t>
      </w:r>
      <w:r w:rsidR="00CD6536" w:rsidRPr="008C72DC">
        <w:rPr>
          <w:rFonts w:ascii="Arial" w:hAnsi="Arial" w:cs="Arial"/>
        </w:rPr>
        <w:t xml:space="preserve"> </w:t>
      </w:r>
      <w:r w:rsidR="008C72DC" w:rsidRPr="008C72DC">
        <w:rPr>
          <w:rFonts w:ascii="Arial" w:hAnsi="Arial" w:cs="Arial"/>
          <w:lang w:val="en-US"/>
        </w:rPr>
        <w:t>5209</w:t>
      </w:r>
      <w:r w:rsidR="00B75557" w:rsidRPr="008C72DC">
        <w:rPr>
          <w:rFonts w:ascii="Arial" w:hAnsi="Arial" w:cs="Arial"/>
        </w:rPr>
        <w:tab/>
      </w:r>
      <w:r w:rsidR="00565823" w:rsidRPr="008C72DC">
        <w:rPr>
          <w:rFonts w:ascii="Arial" w:hAnsi="Arial" w:cs="Arial"/>
        </w:rPr>
        <w:tab/>
      </w:r>
      <w:r w:rsidRPr="008C72DC">
        <w:rPr>
          <w:rFonts w:ascii="Arial" w:hAnsi="Arial" w:cs="Arial"/>
        </w:rPr>
        <w:tab/>
      </w:r>
      <w:r w:rsidRPr="008C72DC">
        <w:rPr>
          <w:rFonts w:ascii="Arial" w:hAnsi="Arial" w:cs="Arial"/>
        </w:rPr>
        <w:tab/>
      </w:r>
      <w:r w:rsidRPr="008C72DC">
        <w:rPr>
          <w:rFonts w:ascii="Arial" w:hAnsi="Arial" w:cs="Arial"/>
        </w:rPr>
        <w:tab/>
      </w:r>
      <w:r w:rsidRPr="008C72DC">
        <w:rPr>
          <w:rFonts w:ascii="Arial" w:hAnsi="Arial" w:cs="Arial"/>
        </w:rPr>
        <w:tab/>
        <w:t xml:space="preserve">Αθήνα, </w:t>
      </w:r>
      <w:r w:rsidR="008C72DC" w:rsidRPr="008C72DC">
        <w:rPr>
          <w:rFonts w:ascii="Arial" w:hAnsi="Arial" w:cs="Arial"/>
          <w:lang w:val="en-US"/>
        </w:rPr>
        <w:t>17</w:t>
      </w:r>
      <w:r w:rsidRPr="008C72DC">
        <w:rPr>
          <w:rFonts w:ascii="Arial" w:hAnsi="Arial" w:cs="Arial"/>
        </w:rPr>
        <w:t>/</w:t>
      </w:r>
      <w:r w:rsidR="00833130" w:rsidRPr="008C72DC">
        <w:rPr>
          <w:rFonts w:ascii="Arial" w:hAnsi="Arial" w:cs="Arial"/>
        </w:rPr>
        <w:t>0</w:t>
      </w:r>
      <w:r w:rsidR="008C72DC" w:rsidRPr="008C72DC">
        <w:rPr>
          <w:rFonts w:ascii="Arial" w:hAnsi="Arial" w:cs="Arial"/>
          <w:lang w:val="en-US"/>
        </w:rPr>
        <w:t>9</w:t>
      </w:r>
      <w:r w:rsidRPr="008C72DC">
        <w:rPr>
          <w:rFonts w:ascii="Arial" w:hAnsi="Arial" w:cs="Arial"/>
        </w:rPr>
        <w:t>/201</w:t>
      </w:r>
      <w:r w:rsidR="00833130" w:rsidRPr="008C72DC">
        <w:rPr>
          <w:rFonts w:ascii="Arial" w:hAnsi="Arial" w:cs="Arial"/>
        </w:rPr>
        <w:t>8</w:t>
      </w:r>
    </w:p>
    <w:p w:rsidR="00CE41AE" w:rsidRPr="00AA4B5D" w:rsidRDefault="00CE41AE" w:rsidP="00CE41AE">
      <w:pPr>
        <w:spacing w:after="0"/>
        <w:rPr>
          <w:rFonts w:ascii="Tahoma" w:hAnsi="Tahoma" w:cs="Tahoma"/>
          <w:b/>
          <w:sz w:val="24"/>
          <w:szCs w:val="24"/>
          <w:u w:val="single"/>
        </w:rPr>
      </w:pPr>
    </w:p>
    <w:p w:rsidR="00CE41AE" w:rsidRPr="00CE41AE" w:rsidRDefault="00CE41AE" w:rsidP="00AA4B5D">
      <w:pPr>
        <w:spacing w:after="0"/>
        <w:jc w:val="center"/>
        <w:rPr>
          <w:rFonts w:ascii="Tahoma" w:hAnsi="Tahoma" w:cs="Tahoma"/>
          <w:b/>
          <w:sz w:val="24"/>
          <w:szCs w:val="24"/>
          <w:u w:val="single"/>
        </w:rPr>
      </w:pPr>
    </w:p>
    <w:p w:rsidR="008C72DC" w:rsidRPr="008C72DC" w:rsidRDefault="008C72DC" w:rsidP="008C72DC">
      <w:pPr>
        <w:spacing w:after="0" w:line="240" w:lineRule="auto"/>
        <w:rPr>
          <w:rFonts w:ascii="Arial" w:eastAsia="Times New Roman" w:hAnsi="Arial" w:cs="Arial"/>
          <w:lang w:eastAsia="el-GR"/>
        </w:rPr>
      </w:pPr>
      <w:r w:rsidRPr="008C72DC">
        <w:rPr>
          <w:rFonts w:ascii="Arial" w:eastAsia="Times New Roman" w:hAnsi="Arial" w:cs="Arial"/>
          <w:lang w:eastAsia="el-GR"/>
        </w:rPr>
        <w:t xml:space="preserve">Προς </w:t>
      </w:r>
    </w:p>
    <w:p w:rsidR="008C72DC" w:rsidRPr="008C72DC" w:rsidRDefault="008C72DC" w:rsidP="008C72DC">
      <w:pPr>
        <w:numPr>
          <w:ilvl w:val="0"/>
          <w:numId w:val="28"/>
        </w:numPr>
        <w:spacing w:after="0" w:line="240" w:lineRule="auto"/>
        <w:rPr>
          <w:rFonts w:ascii="Arial" w:eastAsia="Times New Roman" w:hAnsi="Arial" w:cs="Arial"/>
          <w:lang w:eastAsia="el-GR"/>
        </w:rPr>
      </w:pPr>
      <w:r w:rsidRPr="008C72DC">
        <w:rPr>
          <w:rFonts w:ascii="Arial" w:eastAsia="Times New Roman" w:hAnsi="Arial" w:cs="Arial"/>
          <w:lang w:eastAsia="el-GR"/>
        </w:rPr>
        <w:t>τα Σωματεία Μέλη του ΕΚΑ</w:t>
      </w:r>
    </w:p>
    <w:p w:rsidR="008C72DC" w:rsidRPr="008C72DC" w:rsidRDefault="008C72DC" w:rsidP="008C72DC">
      <w:pPr>
        <w:spacing w:after="0" w:line="240" w:lineRule="auto"/>
        <w:rPr>
          <w:rFonts w:ascii="Arial" w:eastAsia="Times New Roman" w:hAnsi="Arial" w:cs="Arial"/>
          <w:lang w:eastAsia="el-GR"/>
        </w:rPr>
      </w:pPr>
    </w:p>
    <w:p w:rsidR="008C72DC" w:rsidRPr="008C72DC" w:rsidRDefault="008C72DC" w:rsidP="008C72DC">
      <w:pPr>
        <w:spacing w:after="0" w:line="240" w:lineRule="auto"/>
        <w:rPr>
          <w:rFonts w:ascii="Arial" w:eastAsia="Times New Roman" w:hAnsi="Arial" w:cs="Arial"/>
          <w:lang w:eastAsia="el-GR"/>
        </w:rPr>
      </w:pPr>
    </w:p>
    <w:p w:rsidR="008C72DC" w:rsidRPr="008C72DC" w:rsidRDefault="008C72DC" w:rsidP="008C72DC">
      <w:pPr>
        <w:spacing w:after="0" w:line="240" w:lineRule="auto"/>
        <w:rPr>
          <w:rFonts w:ascii="Tahoma" w:eastAsia="Times New Roman" w:hAnsi="Tahoma" w:cs="Tahoma"/>
          <w:sz w:val="24"/>
          <w:szCs w:val="24"/>
          <w:lang w:eastAsia="el-GR"/>
        </w:rPr>
      </w:pPr>
      <w:r w:rsidRPr="008C72DC">
        <w:rPr>
          <w:rFonts w:ascii="Arial" w:eastAsia="Times New Roman" w:hAnsi="Arial" w:cs="Arial"/>
          <w:lang w:eastAsia="el-GR"/>
        </w:rPr>
        <w:t>Συνάδελφοι</w:t>
      </w:r>
      <w:r w:rsidRPr="008C72DC">
        <w:rPr>
          <w:rFonts w:ascii="Tahoma" w:eastAsia="Times New Roman" w:hAnsi="Tahoma" w:cs="Tahoma"/>
          <w:sz w:val="24"/>
          <w:szCs w:val="24"/>
          <w:lang w:eastAsia="el-GR"/>
        </w:rPr>
        <w:t xml:space="preserve">, </w:t>
      </w:r>
    </w:p>
    <w:p w:rsidR="008C72DC" w:rsidRPr="008C72DC" w:rsidRDefault="008C72DC" w:rsidP="008C72DC">
      <w:pPr>
        <w:spacing w:after="0" w:line="240" w:lineRule="auto"/>
        <w:rPr>
          <w:rFonts w:ascii="Tahoma" w:eastAsia="Times New Roman" w:hAnsi="Tahoma" w:cs="Tahoma"/>
          <w:sz w:val="24"/>
          <w:szCs w:val="24"/>
          <w:lang w:eastAsia="el-GR"/>
        </w:rPr>
      </w:pPr>
    </w:p>
    <w:p w:rsidR="008C72DC" w:rsidRDefault="008C72DC" w:rsidP="008C72DC">
      <w:pPr>
        <w:spacing w:after="0" w:line="240" w:lineRule="auto"/>
        <w:ind w:left="-567" w:right="-760" w:firstLine="567"/>
        <w:jc w:val="both"/>
        <w:rPr>
          <w:rFonts w:ascii="Arial" w:eastAsia="Times New Roman" w:hAnsi="Arial" w:cs="Arial"/>
          <w:lang w:val="en-US" w:eastAsia="el-GR"/>
        </w:rPr>
      </w:pPr>
      <w:r w:rsidRPr="008C72DC">
        <w:rPr>
          <w:rFonts w:ascii="Arial" w:eastAsia="Times New Roman" w:hAnsi="Arial" w:cs="Arial"/>
          <w:lang w:eastAsia="el-GR"/>
        </w:rPr>
        <w:t xml:space="preserve">Μετά την πρόσφατη τροποποίηση του Κώδικα Πολιτικής Δικονομίας (Ν.4335/2015-ισχύς από 1-1-2016), δημιουργήθηκε έντονο πρόβλημα στις περιπτώσεις που συνδικαλιστικές οργανώσεις επιθυμούν να ασκήσουν πρόσθετη παρέμβαση υπέρ άλλης συνδικαλιστικής οργάνωσης, στα πλαίσια αγωγής του εργοδότη για ακυρότητα εξαγγελθείσης απεργίας και συγκεκριμένα στις περιπτώσεις που η αγωγή ασκείται μόλις λίγες ώρες πριν από την εκδίκασή της στο Μονομελές Πρωτοδικείο (πράγμα που είναι και το πλέον σύνηθες).  </w:t>
      </w:r>
    </w:p>
    <w:p w:rsidR="008C72DC" w:rsidRDefault="008C72DC" w:rsidP="008C72DC">
      <w:pPr>
        <w:spacing w:after="0" w:line="240" w:lineRule="auto"/>
        <w:ind w:left="-567" w:right="-760" w:firstLine="567"/>
        <w:jc w:val="both"/>
        <w:rPr>
          <w:rFonts w:ascii="Arial" w:eastAsia="Times New Roman" w:hAnsi="Arial" w:cs="Arial"/>
          <w:lang w:val="en-US" w:eastAsia="el-GR"/>
        </w:rPr>
      </w:pPr>
    </w:p>
    <w:p w:rsidR="008C72DC" w:rsidRPr="008C72DC" w:rsidRDefault="008C72DC" w:rsidP="008C72DC">
      <w:pPr>
        <w:spacing w:after="0" w:line="240" w:lineRule="auto"/>
        <w:ind w:left="-567" w:right="-760" w:firstLine="567"/>
        <w:jc w:val="both"/>
        <w:rPr>
          <w:rFonts w:ascii="Arial" w:eastAsia="Times New Roman" w:hAnsi="Arial" w:cs="Arial"/>
          <w:lang w:eastAsia="el-GR"/>
        </w:rPr>
      </w:pPr>
      <w:r w:rsidRPr="008C72DC">
        <w:rPr>
          <w:rFonts w:ascii="Arial" w:eastAsia="Times New Roman" w:hAnsi="Arial" w:cs="Arial"/>
          <w:lang w:eastAsia="el-GR"/>
        </w:rPr>
        <w:t xml:space="preserve">Κι αυτό γιατί η πρόσθετη παρέμβαση, δηλ. η δυνατότητα ενός σωματείου, ομοσπονδίας, Εργατικού Κέντρου ή της ΓΣΕΕ, να εμφανιστεί με δικηγόρο στο δικαστήριο για να υποστηρίξει τις θέσεις του σωματείου που έχει προκηρύξει την απεργία, θα έπρεπε να γίνεται  με δικόγραφο που να κατατίθεται στη γραμματεία και το οποίο μάλιστα να κοινοποιηθεί στον εργοδότη πριν από τη συζήτηση της υπόθεσης, πράγμα αδύνατο στις 1-2 ώρες που μεσολαβούν από τότε που ο εργοδότης κάνει την αγωγή ακύρωσης της απεργίας μέχρι τη συζήτηση στο Μονομελές Πρωτοδικείο. </w:t>
      </w:r>
    </w:p>
    <w:p w:rsidR="008C72DC" w:rsidRPr="008C72DC" w:rsidRDefault="008C72DC" w:rsidP="008C72DC">
      <w:pPr>
        <w:spacing w:after="0" w:line="240" w:lineRule="auto"/>
        <w:ind w:left="-567" w:right="-760" w:firstLine="567"/>
        <w:jc w:val="both"/>
        <w:rPr>
          <w:rFonts w:ascii="Arial" w:eastAsia="Times New Roman" w:hAnsi="Arial" w:cs="Arial"/>
          <w:lang w:eastAsia="el-GR"/>
        </w:rPr>
      </w:pPr>
    </w:p>
    <w:p w:rsidR="008C72DC" w:rsidRDefault="008C72DC" w:rsidP="008C72DC">
      <w:pPr>
        <w:spacing w:after="0" w:line="240" w:lineRule="auto"/>
        <w:ind w:left="-567" w:right="-760" w:firstLine="567"/>
        <w:jc w:val="both"/>
        <w:rPr>
          <w:rFonts w:ascii="Arial" w:eastAsia="Times New Roman" w:hAnsi="Arial" w:cs="Arial"/>
          <w:lang w:val="en-US" w:eastAsia="el-GR"/>
        </w:rPr>
      </w:pPr>
      <w:r w:rsidRPr="008C72DC">
        <w:rPr>
          <w:rFonts w:ascii="Arial" w:eastAsia="Times New Roman" w:hAnsi="Arial" w:cs="Arial"/>
          <w:lang w:eastAsia="el-GR"/>
        </w:rPr>
        <w:t xml:space="preserve">Αποτέλεσμα της έλλειψης χρόνου είναι όλες οι παρεμβάσεις να απορρίπτονται ως απαράδεκτες. Με την απόφαση 411/2017 του Μονομελούς Πρωτοδικείου Αθηνών που χειρίστηκε η νομική μας υπηρεσία εκπροσωπώντας το Εργατοϋπαλληλικό Κέντρο Αθήνας, κρίθηκε ότι η πρόσθετη παρέμβαση σε απεργιακές δίκες οι οποίες προσδιορίζονται προς συζήτηση αυθημερόν της κατάθεσης της σχετικής αγωγής από τον εργοδότη, </w:t>
      </w:r>
      <w:r w:rsidRPr="008C72DC">
        <w:rPr>
          <w:rFonts w:ascii="Arial" w:eastAsia="Times New Roman" w:hAnsi="Arial" w:cs="Arial"/>
          <w:b/>
          <w:bCs/>
          <w:lang w:eastAsia="el-GR"/>
        </w:rPr>
        <w:t>ασκείται παραδεκτά χωρίς κατάθεση δικογράφου, δηλ. προφορικά ενώπιον του Δικαστηρίου</w:t>
      </w:r>
      <w:r w:rsidRPr="008C72DC">
        <w:rPr>
          <w:rFonts w:ascii="Arial" w:eastAsia="Times New Roman" w:hAnsi="Arial" w:cs="Arial"/>
          <w:lang w:eastAsia="el-GR"/>
        </w:rPr>
        <w:t xml:space="preserve">,  ενόψει το ότι, όπως αναφέρει ορθά η απόφαση "δικάσιμος ορίστηκε η σημερινή ημέρα και ώρα 13.30, με αποτέλεσμα να μην υπάρχει ευχέρεια χρόνου για την τήρηση της απαιτούμενης από το νόμο προδικασίας". Στην περίπτωση της απόφασης, η αγωγή του εργοδότη κοινοποιήθηκε μόλις τρείς (3) ώρες πριν από τη συζήτηση στο ακροατήριο. </w:t>
      </w:r>
    </w:p>
    <w:p w:rsidR="008C72DC" w:rsidRDefault="008C72DC" w:rsidP="008C72DC">
      <w:pPr>
        <w:spacing w:after="0" w:line="240" w:lineRule="auto"/>
        <w:ind w:left="-567" w:right="-760" w:firstLine="567"/>
        <w:jc w:val="both"/>
        <w:rPr>
          <w:rFonts w:ascii="Arial" w:eastAsia="Times New Roman" w:hAnsi="Arial" w:cs="Arial"/>
          <w:lang w:val="en-US" w:eastAsia="el-GR"/>
        </w:rPr>
      </w:pPr>
    </w:p>
    <w:p w:rsidR="008C72DC" w:rsidRPr="008C72DC" w:rsidRDefault="008C72DC" w:rsidP="008C72DC">
      <w:pPr>
        <w:spacing w:after="0" w:line="240" w:lineRule="auto"/>
        <w:ind w:left="-567" w:right="-760" w:firstLine="567"/>
        <w:jc w:val="both"/>
        <w:rPr>
          <w:rFonts w:ascii="Tahoma" w:eastAsia="Times New Roman" w:hAnsi="Tahoma" w:cs="Tahoma"/>
          <w:sz w:val="24"/>
          <w:szCs w:val="24"/>
          <w:lang w:eastAsia="el-GR"/>
        </w:rPr>
      </w:pPr>
      <w:bookmarkStart w:id="0" w:name="_GoBack"/>
      <w:bookmarkEnd w:id="0"/>
      <w:r w:rsidRPr="008C72DC">
        <w:rPr>
          <w:rFonts w:ascii="Arial" w:eastAsia="Times New Roman" w:hAnsi="Arial" w:cs="Arial"/>
          <w:lang w:eastAsia="el-GR"/>
        </w:rPr>
        <w:t xml:space="preserve">Προς διευκόλυνση των σωματείων-μελών μας αλλά και κάθε ενδιαφερόμενου σωματείου, παραθέτουμε το κείμενο της απόφασης στην </w:t>
      </w:r>
      <w:hyperlink r:id="rId7" w:history="1">
        <w:r w:rsidRPr="008C72DC">
          <w:rPr>
            <w:rFonts w:ascii="Arial" w:eastAsia="Times New Roman" w:hAnsi="Arial" w:cs="Arial"/>
            <w:color w:val="0000FF"/>
            <w:u w:val="single"/>
            <w:lang w:eastAsia="el-GR"/>
          </w:rPr>
          <w:t>ιστοσελίδα του Ε.Κ.Α.</w:t>
        </w:r>
      </w:hyperlink>
      <w:r w:rsidRPr="008C72DC">
        <w:rPr>
          <w:rFonts w:ascii="Arial" w:eastAsia="Times New Roman" w:hAnsi="Arial" w:cs="Arial"/>
          <w:lang w:eastAsia="el-GR"/>
        </w:rPr>
        <w:t xml:space="preserve"> καθώς και στο </w:t>
      </w:r>
      <w:hyperlink r:id="rId8" w:history="1">
        <w:r w:rsidRPr="008C72DC">
          <w:rPr>
            <w:rFonts w:ascii="Arial" w:eastAsia="Times New Roman" w:hAnsi="Arial" w:cs="Arial"/>
            <w:color w:val="0000FF"/>
            <w:u w:val="single"/>
            <w:lang w:val="en-US" w:eastAsia="el-GR"/>
          </w:rPr>
          <w:t>Facebook</w:t>
        </w:r>
      </w:hyperlink>
      <w:r w:rsidRPr="008C72DC">
        <w:rPr>
          <w:rFonts w:ascii="Arial" w:eastAsia="Times New Roman" w:hAnsi="Arial" w:cs="Arial"/>
          <w:lang w:val="en-US" w:eastAsia="el-GR"/>
        </w:rPr>
        <w:t xml:space="preserve"> </w:t>
      </w:r>
    </w:p>
    <w:p w:rsidR="00833130" w:rsidRPr="00833130" w:rsidRDefault="00833130" w:rsidP="00833130">
      <w:pPr>
        <w:spacing w:after="0" w:line="240" w:lineRule="auto"/>
        <w:rPr>
          <w:rFonts w:ascii="Tahoma" w:eastAsia="Times New Roman" w:hAnsi="Tahoma" w:cs="Tahoma"/>
          <w:sz w:val="18"/>
          <w:szCs w:val="24"/>
          <w:lang w:eastAsia="el-GR"/>
        </w:rPr>
      </w:pPr>
    </w:p>
    <w:p w:rsidR="00720CCD" w:rsidRPr="00720CCD" w:rsidRDefault="00720CCD" w:rsidP="00833130">
      <w:pPr>
        <w:spacing w:after="0" w:line="240" w:lineRule="auto"/>
        <w:rPr>
          <w:rFonts w:ascii="Tahoma" w:eastAsia="Times New Roman" w:hAnsi="Tahoma" w:cs="Tahoma"/>
          <w:sz w:val="24"/>
          <w:szCs w:val="24"/>
          <w:lang w:eastAsia="el-GR"/>
        </w:rPr>
      </w:pPr>
    </w:p>
    <w:p w:rsidR="00833130" w:rsidRPr="008C72DC" w:rsidRDefault="00833130" w:rsidP="00833130">
      <w:pPr>
        <w:spacing w:after="0" w:line="240" w:lineRule="auto"/>
        <w:jc w:val="center"/>
        <w:rPr>
          <w:rFonts w:ascii="Arial" w:eastAsia="Times New Roman" w:hAnsi="Arial" w:cs="Arial"/>
          <w:lang w:eastAsia="el-GR"/>
        </w:rPr>
      </w:pPr>
      <w:r w:rsidRPr="008C72DC">
        <w:rPr>
          <w:rFonts w:ascii="Arial" w:eastAsia="Times New Roman" w:hAnsi="Arial" w:cs="Arial"/>
          <w:lang w:eastAsia="el-GR"/>
        </w:rPr>
        <w:t>Για το Δ.Σ.</w:t>
      </w:r>
    </w:p>
    <w:p w:rsidR="00833130" w:rsidRPr="008C72DC" w:rsidRDefault="00833130" w:rsidP="00833130">
      <w:pPr>
        <w:spacing w:after="0" w:line="240" w:lineRule="auto"/>
        <w:rPr>
          <w:rFonts w:ascii="Arial" w:eastAsia="Times New Roman" w:hAnsi="Arial" w:cs="Arial"/>
          <w:lang w:eastAsia="el-GR"/>
        </w:rPr>
      </w:pPr>
    </w:p>
    <w:tbl>
      <w:tblPr>
        <w:tblW w:w="0" w:type="auto"/>
        <w:jc w:val="center"/>
        <w:tblLook w:val="01E0" w:firstRow="1" w:lastRow="1" w:firstColumn="1" w:lastColumn="1" w:noHBand="0" w:noVBand="0"/>
      </w:tblPr>
      <w:tblGrid>
        <w:gridCol w:w="4261"/>
        <w:gridCol w:w="4261"/>
      </w:tblGrid>
      <w:tr w:rsidR="00833130" w:rsidRPr="008C72DC" w:rsidTr="00833130">
        <w:trPr>
          <w:jc w:val="center"/>
        </w:trPr>
        <w:tc>
          <w:tcPr>
            <w:tcW w:w="4264" w:type="dxa"/>
            <w:hideMark/>
          </w:tcPr>
          <w:p w:rsidR="00833130" w:rsidRPr="008C72DC" w:rsidRDefault="00833130" w:rsidP="00833130">
            <w:pPr>
              <w:spacing w:after="0" w:line="240" w:lineRule="auto"/>
              <w:jc w:val="center"/>
              <w:rPr>
                <w:rFonts w:ascii="Arial" w:eastAsia="Times New Roman" w:hAnsi="Arial" w:cs="Arial"/>
                <w:lang w:eastAsia="el-GR"/>
              </w:rPr>
            </w:pPr>
            <w:r w:rsidRPr="008C72DC">
              <w:rPr>
                <w:rFonts w:ascii="Arial" w:eastAsia="Times New Roman" w:hAnsi="Arial" w:cs="Arial"/>
                <w:lang w:eastAsia="el-GR"/>
              </w:rPr>
              <w:t>Ο Πρόεδρος</w:t>
            </w:r>
          </w:p>
        </w:tc>
        <w:tc>
          <w:tcPr>
            <w:tcW w:w="4264" w:type="dxa"/>
            <w:hideMark/>
          </w:tcPr>
          <w:p w:rsidR="00833130" w:rsidRPr="008C72DC" w:rsidRDefault="00833130" w:rsidP="00833130">
            <w:pPr>
              <w:spacing w:after="0" w:line="240" w:lineRule="auto"/>
              <w:jc w:val="center"/>
              <w:rPr>
                <w:rFonts w:ascii="Arial" w:eastAsia="Times New Roman" w:hAnsi="Arial" w:cs="Arial"/>
                <w:lang w:eastAsia="el-GR"/>
              </w:rPr>
            </w:pPr>
            <w:r w:rsidRPr="008C72DC">
              <w:rPr>
                <w:rFonts w:ascii="Arial" w:eastAsia="Times New Roman" w:hAnsi="Arial" w:cs="Arial"/>
                <w:lang w:eastAsia="el-GR"/>
              </w:rPr>
              <w:t>Ο Γεν. Γραμματέας</w:t>
            </w:r>
          </w:p>
        </w:tc>
      </w:tr>
      <w:tr w:rsidR="00833130" w:rsidRPr="008C72DC" w:rsidTr="00833130">
        <w:trPr>
          <w:jc w:val="center"/>
        </w:trPr>
        <w:tc>
          <w:tcPr>
            <w:tcW w:w="4264" w:type="dxa"/>
          </w:tcPr>
          <w:p w:rsidR="00833130" w:rsidRPr="008C72DC" w:rsidRDefault="00833130" w:rsidP="00833130">
            <w:pPr>
              <w:spacing w:after="0" w:line="240" w:lineRule="auto"/>
              <w:jc w:val="center"/>
              <w:rPr>
                <w:rFonts w:ascii="Arial" w:eastAsia="Times New Roman" w:hAnsi="Arial" w:cs="Arial"/>
                <w:lang w:eastAsia="el-GR"/>
              </w:rPr>
            </w:pPr>
          </w:p>
          <w:p w:rsidR="00833130" w:rsidRPr="008C72DC" w:rsidRDefault="00833130" w:rsidP="00833130">
            <w:pPr>
              <w:spacing w:after="0" w:line="240" w:lineRule="auto"/>
              <w:jc w:val="center"/>
              <w:rPr>
                <w:rFonts w:ascii="Arial" w:eastAsia="Times New Roman" w:hAnsi="Arial" w:cs="Arial"/>
                <w:lang w:eastAsia="el-GR"/>
              </w:rPr>
            </w:pPr>
          </w:p>
          <w:p w:rsidR="00833130" w:rsidRPr="008C72DC" w:rsidRDefault="00833130" w:rsidP="00833130">
            <w:pPr>
              <w:spacing w:after="0" w:line="240" w:lineRule="auto"/>
              <w:jc w:val="center"/>
              <w:rPr>
                <w:rFonts w:ascii="Arial" w:eastAsia="Times New Roman" w:hAnsi="Arial" w:cs="Arial"/>
                <w:lang w:eastAsia="el-GR"/>
              </w:rPr>
            </w:pPr>
          </w:p>
          <w:p w:rsidR="00833130" w:rsidRPr="008C72DC" w:rsidRDefault="00833130" w:rsidP="00833130">
            <w:pPr>
              <w:spacing w:after="0" w:line="240" w:lineRule="auto"/>
              <w:jc w:val="center"/>
              <w:rPr>
                <w:rFonts w:ascii="Arial" w:eastAsia="Times New Roman" w:hAnsi="Arial" w:cs="Arial"/>
                <w:lang w:eastAsia="el-GR"/>
              </w:rPr>
            </w:pPr>
            <w:r w:rsidRPr="008C72DC">
              <w:rPr>
                <w:rFonts w:ascii="Arial" w:eastAsia="Times New Roman" w:hAnsi="Arial" w:cs="Arial"/>
                <w:lang w:eastAsia="el-GR"/>
              </w:rPr>
              <w:t>Γιώργος Μυλωνάς</w:t>
            </w:r>
          </w:p>
        </w:tc>
        <w:tc>
          <w:tcPr>
            <w:tcW w:w="4264" w:type="dxa"/>
          </w:tcPr>
          <w:p w:rsidR="00833130" w:rsidRPr="008C72DC" w:rsidRDefault="00833130" w:rsidP="00833130">
            <w:pPr>
              <w:spacing w:after="0" w:line="240" w:lineRule="auto"/>
              <w:jc w:val="center"/>
              <w:rPr>
                <w:rFonts w:ascii="Arial" w:eastAsia="Times New Roman" w:hAnsi="Arial" w:cs="Arial"/>
                <w:lang w:eastAsia="el-GR"/>
              </w:rPr>
            </w:pPr>
          </w:p>
          <w:p w:rsidR="00833130" w:rsidRPr="008C72DC" w:rsidRDefault="00833130" w:rsidP="00833130">
            <w:pPr>
              <w:spacing w:after="0" w:line="240" w:lineRule="auto"/>
              <w:jc w:val="center"/>
              <w:rPr>
                <w:rFonts w:ascii="Arial" w:eastAsia="Times New Roman" w:hAnsi="Arial" w:cs="Arial"/>
                <w:lang w:eastAsia="el-GR"/>
              </w:rPr>
            </w:pPr>
          </w:p>
          <w:p w:rsidR="00833130" w:rsidRPr="008C72DC" w:rsidRDefault="00833130" w:rsidP="00833130">
            <w:pPr>
              <w:spacing w:after="0" w:line="240" w:lineRule="auto"/>
              <w:jc w:val="center"/>
              <w:rPr>
                <w:rFonts w:ascii="Arial" w:eastAsia="Times New Roman" w:hAnsi="Arial" w:cs="Arial"/>
                <w:lang w:eastAsia="el-GR"/>
              </w:rPr>
            </w:pPr>
          </w:p>
          <w:p w:rsidR="00833130" w:rsidRPr="008C72DC" w:rsidRDefault="00833130" w:rsidP="00833130">
            <w:pPr>
              <w:spacing w:after="0" w:line="240" w:lineRule="auto"/>
              <w:jc w:val="center"/>
              <w:rPr>
                <w:rFonts w:ascii="Arial" w:eastAsia="Times New Roman" w:hAnsi="Arial" w:cs="Arial"/>
                <w:lang w:eastAsia="el-GR"/>
              </w:rPr>
            </w:pPr>
            <w:r w:rsidRPr="008C72DC">
              <w:rPr>
                <w:rFonts w:ascii="Arial" w:eastAsia="Times New Roman" w:hAnsi="Arial" w:cs="Arial"/>
                <w:lang w:eastAsia="el-GR"/>
              </w:rPr>
              <w:t xml:space="preserve">Κώστας </w:t>
            </w:r>
            <w:proofErr w:type="spellStart"/>
            <w:r w:rsidRPr="008C72DC">
              <w:rPr>
                <w:rFonts w:ascii="Arial" w:eastAsia="Times New Roman" w:hAnsi="Arial" w:cs="Arial"/>
                <w:lang w:eastAsia="el-GR"/>
              </w:rPr>
              <w:t>Κουλούρης</w:t>
            </w:r>
            <w:proofErr w:type="spellEnd"/>
          </w:p>
        </w:tc>
      </w:tr>
    </w:tbl>
    <w:p w:rsidR="00160453" w:rsidRPr="00833130" w:rsidRDefault="00160453" w:rsidP="00AA4B5D">
      <w:pPr>
        <w:shd w:val="clear" w:color="auto" w:fill="FFFFFF"/>
        <w:spacing w:after="0" w:line="240" w:lineRule="auto"/>
        <w:rPr>
          <w:rFonts w:ascii="Arial" w:eastAsia="Times New Roman" w:hAnsi="Arial" w:cs="Arial"/>
          <w:b/>
          <w:color w:val="222222"/>
          <w:spacing w:val="120"/>
          <w:sz w:val="32"/>
          <w:szCs w:val="28"/>
          <w:u w:val="thick"/>
          <w:lang w:val="en-US" w:eastAsia="el-GR"/>
        </w:rPr>
      </w:pPr>
    </w:p>
    <w:sectPr w:rsidR="00160453" w:rsidRPr="00833130" w:rsidSect="00AA4B5D">
      <w:pgSz w:w="11906" w:h="16838"/>
      <w:pgMar w:top="142"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DFA"/>
    <w:multiLevelType w:val="hybridMultilevel"/>
    <w:tmpl w:val="9F16A50C"/>
    <w:lvl w:ilvl="0" w:tplc="8E1C6D8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664A47"/>
    <w:multiLevelType w:val="multilevel"/>
    <w:tmpl w:val="857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954E1E"/>
    <w:multiLevelType w:val="multilevel"/>
    <w:tmpl w:val="53B2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274534"/>
    <w:multiLevelType w:val="multilevel"/>
    <w:tmpl w:val="18B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95A1BE7"/>
    <w:multiLevelType w:val="multilevel"/>
    <w:tmpl w:val="6C82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B337A19"/>
    <w:multiLevelType w:val="hybridMultilevel"/>
    <w:tmpl w:val="9334C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D74446"/>
    <w:multiLevelType w:val="multilevel"/>
    <w:tmpl w:val="F444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574B96"/>
    <w:multiLevelType w:val="multilevel"/>
    <w:tmpl w:val="08BE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0B557C"/>
    <w:multiLevelType w:val="multilevel"/>
    <w:tmpl w:val="940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2">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D396556"/>
    <w:multiLevelType w:val="multilevel"/>
    <w:tmpl w:val="BEEE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AD6394"/>
    <w:multiLevelType w:val="hybridMultilevel"/>
    <w:tmpl w:val="E0FEFB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E844AD"/>
    <w:multiLevelType w:val="multilevel"/>
    <w:tmpl w:val="D7C2D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7">
    <w:nsid w:val="4DA03310"/>
    <w:multiLevelType w:val="multilevel"/>
    <w:tmpl w:val="440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0">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0600D70"/>
    <w:multiLevelType w:val="hybridMultilevel"/>
    <w:tmpl w:val="7A1AD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6"/>
  </w:num>
  <w:num w:numId="4">
    <w:abstractNumId w:val="25"/>
  </w:num>
  <w:num w:numId="5">
    <w:abstractNumId w:val="19"/>
  </w:num>
  <w:num w:numId="6">
    <w:abstractNumId w:val="23"/>
  </w:num>
  <w:num w:numId="7">
    <w:abstractNumId w:val="18"/>
  </w:num>
  <w:num w:numId="8">
    <w:abstractNumId w:val="16"/>
  </w:num>
  <w:num w:numId="9">
    <w:abstractNumId w:val="24"/>
  </w:num>
  <w:num w:numId="10">
    <w:abstractNumId w:val="20"/>
  </w:num>
  <w:num w:numId="11">
    <w:abstractNumId w:val="11"/>
  </w:num>
  <w:num w:numId="12">
    <w:abstractNumId w:val="12"/>
  </w:num>
  <w:num w:numId="13">
    <w:abstractNumId w:val="0"/>
  </w:num>
  <w:num w:numId="14">
    <w:abstractNumId w:val="21"/>
  </w:num>
  <w:num w:numId="15">
    <w:abstractNumId w:val="0"/>
  </w:num>
  <w:num w:numId="16">
    <w:abstractNumId w:val="15"/>
  </w:num>
  <w:num w:numId="17">
    <w:abstractNumId w:val="17"/>
  </w:num>
  <w:num w:numId="18">
    <w:abstractNumId w:val="3"/>
  </w:num>
  <w:num w:numId="19">
    <w:abstractNumId w:val="9"/>
  </w:num>
  <w:num w:numId="20">
    <w:abstractNumId w:val="8"/>
  </w:num>
  <w:num w:numId="21">
    <w:abstractNumId w:val="1"/>
  </w:num>
  <w:num w:numId="22">
    <w:abstractNumId w:val="2"/>
  </w:num>
  <w:num w:numId="23">
    <w:abstractNumId w:val="10"/>
  </w:num>
  <w:num w:numId="24">
    <w:abstractNumId w:val="5"/>
  </w:num>
  <w:num w:numId="25">
    <w:abstractNumId w:val="13"/>
  </w:num>
  <w:num w:numId="26">
    <w:abstractNumId w:val="7"/>
  </w:num>
  <w:num w:numId="27">
    <w:abstractNumId w:val="14"/>
  </w:num>
  <w:num w:numId="2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60453"/>
    <w:rsid w:val="001C484F"/>
    <w:rsid w:val="001E1B63"/>
    <w:rsid w:val="001F15D3"/>
    <w:rsid w:val="002457AF"/>
    <w:rsid w:val="00271074"/>
    <w:rsid w:val="00285219"/>
    <w:rsid w:val="002A7F2B"/>
    <w:rsid w:val="002F430D"/>
    <w:rsid w:val="00312B1F"/>
    <w:rsid w:val="0036120D"/>
    <w:rsid w:val="00383D1F"/>
    <w:rsid w:val="003C361A"/>
    <w:rsid w:val="003F1607"/>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47518"/>
    <w:rsid w:val="00674778"/>
    <w:rsid w:val="00720CCD"/>
    <w:rsid w:val="00746EB4"/>
    <w:rsid w:val="007727AB"/>
    <w:rsid w:val="00793F8B"/>
    <w:rsid w:val="007E4EB7"/>
    <w:rsid w:val="007F1DB0"/>
    <w:rsid w:val="00833130"/>
    <w:rsid w:val="00856D03"/>
    <w:rsid w:val="008872EF"/>
    <w:rsid w:val="008C72DC"/>
    <w:rsid w:val="008C77C6"/>
    <w:rsid w:val="009014C4"/>
    <w:rsid w:val="00914852"/>
    <w:rsid w:val="009249D3"/>
    <w:rsid w:val="009B4611"/>
    <w:rsid w:val="00A013F4"/>
    <w:rsid w:val="00A70432"/>
    <w:rsid w:val="00A9583F"/>
    <w:rsid w:val="00A96FC0"/>
    <w:rsid w:val="00AA38A3"/>
    <w:rsid w:val="00AA4B5D"/>
    <w:rsid w:val="00AA7766"/>
    <w:rsid w:val="00AE0141"/>
    <w:rsid w:val="00B12DF4"/>
    <w:rsid w:val="00B22459"/>
    <w:rsid w:val="00B648B2"/>
    <w:rsid w:val="00B75557"/>
    <w:rsid w:val="00BB4D75"/>
    <w:rsid w:val="00BD3979"/>
    <w:rsid w:val="00BE13F6"/>
    <w:rsid w:val="00C0195F"/>
    <w:rsid w:val="00C14204"/>
    <w:rsid w:val="00CD6536"/>
    <w:rsid w:val="00CE41AE"/>
    <w:rsid w:val="00CF1825"/>
    <w:rsid w:val="00CF26E0"/>
    <w:rsid w:val="00D245D5"/>
    <w:rsid w:val="00D25CF1"/>
    <w:rsid w:val="00D54330"/>
    <w:rsid w:val="00E01ED1"/>
    <w:rsid w:val="00E70745"/>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125">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5789753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1059477">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30111383">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396903023">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92453142">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95%CF%81%CE%B3%CE%B1%CF%84%CE%BF%CF%8B%CF%80%CE%B1%CE%BB%CE%BB%CE%B7%CE%BB%CE%B9%CE%BA%CF%8C-%CE%9A%CE%AD%CE%BD%CF%84%CF%81%CE%BF-%CE%91%CE%B8%CE%AE%CE%BD%CE%B1%CF%82-365887433590005/" TargetMode="External"/><Relationship Id="rId3" Type="http://schemas.microsoft.com/office/2007/relationships/stylesWithEffects" Target="stylesWithEffects.xml"/><Relationship Id="rId7" Type="http://schemas.openxmlformats.org/officeDocument/2006/relationships/hyperlink" Target="http://www.eka.org.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2236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2018-09-17T10:10:00Z</dcterms:created>
  <dcterms:modified xsi:type="dcterms:W3CDTF">2018-09-17T10:10:00Z</dcterms:modified>
</cp:coreProperties>
</file>