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D5135A" w:rsidP="00D5135A">
            <w:pPr>
              <w:ind w:left="-567" w:right="-766"/>
              <w:rPr>
                <w:rFonts w:ascii="Arial Black" w:hAnsi="Arial Black"/>
                <w:sz w:val="48"/>
                <w:szCs w:val="48"/>
              </w:rPr>
            </w:pPr>
            <w:r>
              <w:rPr>
                <w:rFonts w:ascii="Arial Black" w:hAnsi="Arial Black"/>
                <w:sz w:val="48"/>
                <w:szCs w:val="48"/>
              </w:rPr>
              <w:t xml:space="preserve">   </w:t>
            </w:r>
            <w:r w:rsidR="00875477" w:rsidRPr="002A3496">
              <w:rPr>
                <w:rFonts w:ascii="Arial Black" w:hAnsi="Arial Black"/>
                <w:sz w:val="48"/>
                <w:szCs w:val="48"/>
              </w:rPr>
              <w:t>ΕΚΑ</w:t>
            </w:r>
          </w:p>
          <w:p w:rsidR="00875477" w:rsidRPr="006142CF" w:rsidRDefault="00D5135A" w:rsidP="00D5135A">
            <w:pPr>
              <w:ind w:left="-567" w:right="-766"/>
              <w:rPr>
                <w:rFonts w:ascii="Arial Black" w:hAnsi="Arial Black"/>
                <w:sz w:val="36"/>
                <w:szCs w:val="36"/>
                <w:lang w:val="en-US"/>
              </w:rPr>
            </w:pPr>
            <w:r>
              <w:rPr>
                <w:rFonts w:ascii="Arial Black" w:hAnsi="Arial Black"/>
                <w:sz w:val="36"/>
                <w:szCs w:val="36"/>
              </w:rPr>
              <w:t xml:space="preserve">    </w:t>
            </w:r>
            <w:r w:rsidR="00875477" w:rsidRPr="002A3496">
              <w:rPr>
                <w:rFonts w:ascii="Arial Black" w:hAnsi="Arial Black"/>
                <w:sz w:val="36"/>
                <w:szCs w:val="36"/>
              </w:rPr>
              <w:t>ΕΡΓΑΤΟΫΠΑΛΛΗΛΙΚΟ ΚΕΝΤΡΟ ΑΘΗΝΑΣ</w:t>
            </w:r>
          </w:p>
        </w:tc>
      </w:tr>
    </w:tbl>
    <w:p w:rsidR="00875477" w:rsidRPr="005F2BB6" w:rsidRDefault="00875477" w:rsidP="00D5135A">
      <w:pPr>
        <w:spacing w:after="120"/>
        <w:ind w:left="-567"/>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D5135A">
      <w:pPr>
        <w:spacing w:after="120"/>
        <w:ind w:left="-567"/>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D5135A">
      <w:pPr>
        <w:ind w:left="-567" w:right="-766"/>
        <w:jc w:val="center"/>
        <w:rPr>
          <w:rFonts w:ascii="Tahoma" w:hAnsi="Tahoma" w:cs="Tahoma"/>
          <w:sz w:val="26"/>
          <w:szCs w:val="26"/>
          <w:lang w:val="en-US"/>
        </w:rPr>
      </w:pPr>
    </w:p>
    <w:p w:rsidR="00875477" w:rsidRDefault="00875477" w:rsidP="00D5135A">
      <w:pPr>
        <w:ind w:left="-567"/>
        <w:jc w:val="center"/>
        <w:rPr>
          <w:rFonts w:ascii="Tahoma" w:hAnsi="Tahoma" w:cs="Tahoma"/>
          <w:sz w:val="26"/>
          <w:szCs w:val="26"/>
          <w:lang w:val="en-US"/>
        </w:rPr>
      </w:pPr>
    </w:p>
    <w:p w:rsidR="00875477" w:rsidRPr="006C32BD" w:rsidRDefault="00875477" w:rsidP="00020D7D">
      <w:pPr>
        <w:ind w:left="-567" w:right="-766"/>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A617BC">
        <w:rPr>
          <w:rFonts w:ascii="Tahoma" w:hAnsi="Tahoma" w:cs="Tahoma"/>
          <w:sz w:val="26"/>
          <w:szCs w:val="26"/>
        </w:rPr>
        <w:t>2</w:t>
      </w:r>
      <w:r w:rsidR="00A617BC" w:rsidRPr="00D5135A">
        <w:rPr>
          <w:rFonts w:ascii="Tahoma" w:hAnsi="Tahoma" w:cs="Tahoma"/>
          <w:sz w:val="26"/>
          <w:szCs w:val="26"/>
        </w:rPr>
        <w:t>4</w:t>
      </w:r>
      <w:r w:rsidR="00D5135A" w:rsidRPr="00D5135A">
        <w:rPr>
          <w:rFonts w:ascii="Tahoma" w:hAnsi="Tahoma" w:cs="Tahoma"/>
          <w:sz w:val="26"/>
          <w:szCs w:val="26"/>
        </w:rPr>
        <w:t>66</w:t>
      </w:r>
      <w:r w:rsidR="00CE7F29" w:rsidRPr="00DE35E1">
        <w:rPr>
          <w:rFonts w:ascii="Tahoma" w:hAnsi="Tahoma" w:cs="Tahoma"/>
          <w:sz w:val="26"/>
          <w:szCs w:val="26"/>
        </w:rPr>
        <w:t xml:space="preserve">    </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00DE35E1">
        <w:rPr>
          <w:rFonts w:ascii="Tahoma" w:hAnsi="Tahoma" w:cs="Tahoma"/>
          <w:sz w:val="26"/>
          <w:szCs w:val="26"/>
        </w:rPr>
        <w:t xml:space="preserve"> </w:t>
      </w:r>
      <w:r w:rsidR="00D5135A">
        <w:rPr>
          <w:rFonts w:ascii="Tahoma" w:hAnsi="Tahoma" w:cs="Tahoma"/>
          <w:sz w:val="26"/>
          <w:szCs w:val="26"/>
        </w:rPr>
        <w:tab/>
      </w:r>
      <w:r w:rsidR="00DE35E1">
        <w:rPr>
          <w:rFonts w:ascii="Tahoma" w:hAnsi="Tahoma" w:cs="Tahoma"/>
          <w:sz w:val="26"/>
          <w:szCs w:val="26"/>
        </w:rPr>
        <w:t xml:space="preserve">   </w:t>
      </w:r>
      <w:r w:rsidR="00020D7D" w:rsidRPr="00020D7D">
        <w:rPr>
          <w:rFonts w:ascii="Tahoma" w:hAnsi="Tahoma" w:cs="Tahoma"/>
          <w:sz w:val="26"/>
          <w:szCs w:val="26"/>
        </w:rPr>
        <w:t xml:space="preserve"> </w:t>
      </w:r>
      <w:r w:rsidR="00020D7D" w:rsidRPr="00020D7D">
        <w:rPr>
          <w:rFonts w:ascii="Tahoma" w:hAnsi="Tahoma" w:cs="Tahoma"/>
          <w:sz w:val="26"/>
          <w:szCs w:val="26"/>
        </w:rPr>
        <w:tab/>
      </w:r>
      <w:r w:rsidR="00020D7D">
        <w:rPr>
          <w:rFonts w:ascii="Tahoma" w:hAnsi="Tahoma" w:cs="Tahoma"/>
          <w:sz w:val="26"/>
          <w:szCs w:val="26"/>
          <w:lang w:val="en-US"/>
        </w:rPr>
        <w:t xml:space="preserve">  </w:t>
      </w:r>
      <w:r w:rsidR="00DE35E1">
        <w:rPr>
          <w:rFonts w:ascii="Tahoma" w:hAnsi="Tahoma" w:cs="Tahoma"/>
          <w:sz w:val="26"/>
          <w:szCs w:val="26"/>
        </w:rPr>
        <w:t>Αθήνα,</w:t>
      </w:r>
      <w:r w:rsidR="00A617BC">
        <w:rPr>
          <w:rFonts w:ascii="Tahoma" w:hAnsi="Tahoma" w:cs="Tahoma"/>
          <w:sz w:val="26"/>
          <w:szCs w:val="26"/>
        </w:rPr>
        <w:t xml:space="preserve"> </w:t>
      </w:r>
      <w:r w:rsidR="00D5135A" w:rsidRPr="00D5135A">
        <w:rPr>
          <w:rFonts w:ascii="Tahoma" w:hAnsi="Tahoma" w:cs="Tahoma"/>
          <w:sz w:val="26"/>
          <w:szCs w:val="26"/>
        </w:rPr>
        <w:t>02</w:t>
      </w:r>
      <w:r w:rsidR="00DE35E1">
        <w:rPr>
          <w:rFonts w:ascii="Tahoma" w:hAnsi="Tahoma" w:cs="Tahoma"/>
          <w:sz w:val="26"/>
          <w:szCs w:val="26"/>
        </w:rPr>
        <w:t>/</w:t>
      </w:r>
      <w:r w:rsidR="00DE35E1" w:rsidRPr="00DE35E1">
        <w:rPr>
          <w:rFonts w:ascii="Tahoma" w:hAnsi="Tahoma" w:cs="Tahoma"/>
          <w:sz w:val="26"/>
          <w:szCs w:val="26"/>
        </w:rPr>
        <w:t>1</w:t>
      </w:r>
      <w:r w:rsidR="00D5135A" w:rsidRPr="00D5135A">
        <w:rPr>
          <w:rFonts w:ascii="Tahoma" w:hAnsi="Tahoma" w:cs="Tahoma"/>
          <w:sz w:val="26"/>
          <w:szCs w:val="26"/>
        </w:rPr>
        <w:t>2</w:t>
      </w:r>
      <w:r>
        <w:rPr>
          <w:rFonts w:ascii="Tahoma" w:hAnsi="Tahoma" w:cs="Tahoma"/>
          <w:sz w:val="26"/>
          <w:szCs w:val="26"/>
        </w:rPr>
        <w:t>/2020</w:t>
      </w:r>
    </w:p>
    <w:p w:rsidR="002E2428" w:rsidRPr="002E2428" w:rsidRDefault="002E2428" w:rsidP="00D5135A">
      <w:pPr>
        <w:ind w:left="-567"/>
        <w:jc w:val="both"/>
        <w:rPr>
          <w:rFonts w:ascii="Tahoma" w:hAnsi="Tahoma" w:cs="Tahoma"/>
          <w:sz w:val="28"/>
          <w:szCs w:val="28"/>
        </w:rPr>
      </w:pPr>
    </w:p>
    <w:p w:rsidR="002E2428" w:rsidRPr="002E2428" w:rsidRDefault="002E2428" w:rsidP="00D5135A">
      <w:pPr>
        <w:ind w:left="-567"/>
        <w:jc w:val="both"/>
        <w:rPr>
          <w:rFonts w:ascii="Tahoma" w:hAnsi="Tahoma" w:cs="Tahoma"/>
          <w:sz w:val="28"/>
          <w:szCs w:val="28"/>
        </w:rPr>
      </w:pPr>
    </w:p>
    <w:p w:rsidR="00DE35E1" w:rsidRDefault="00DE35E1" w:rsidP="00D5135A">
      <w:pPr>
        <w:ind w:left="-567"/>
        <w:jc w:val="both"/>
        <w:rPr>
          <w:rFonts w:ascii="Tahoma" w:hAnsi="Tahoma" w:cs="Tahoma"/>
        </w:rPr>
      </w:pPr>
      <w:r>
        <w:rPr>
          <w:rFonts w:ascii="Tahoma" w:hAnsi="Tahoma" w:cs="Tahoma"/>
        </w:rPr>
        <w:t xml:space="preserve">Προς </w:t>
      </w:r>
    </w:p>
    <w:p w:rsidR="00DE35E1" w:rsidRDefault="00DE35E1" w:rsidP="00D5135A">
      <w:pPr>
        <w:ind w:left="-567"/>
        <w:jc w:val="both"/>
        <w:rPr>
          <w:rFonts w:ascii="Tahoma" w:hAnsi="Tahoma" w:cs="Tahoma"/>
        </w:rPr>
      </w:pPr>
      <w:r>
        <w:rPr>
          <w:rFonts w:ascii="Tahoma" w:hAnsi="Tahoma" w:cs="Tahoma"/>
        </w:rPr>
        <w:t>τα Σωματεία Μέλη του ΕΚΑ</w:t>
      </w:r>
    </w:p>
    <w:p w:rsidR="00DE35E1" w:rsidRDefault="00DE35E1" w:rsidP="00D5135A">
      <w:pPr>
        <w:ind w:left="-567"/>
        <w:jc w:val="center"/>
        <w:rPr>
          <w:rFonts w:ascii="Tahoma" w:hAnsi="Tahoma" w:cs="Tahoma"/>
        </w:rPr>
      </w:pPr>
    </w:p>
    <w:p w:rsidR="00A617BC" w:rsidRPr="00D5135A" w:rsidRDefault="00DE35E1" w:rsidP="00D5135A">
      <w:pPr>
        <w:ind w:left="-567"/>
        <w:rPr>
          <w:rFonts w:ascii="Tahoma" w:hAnsi="Tahoma" w:cs="Tahoma"/>
        </w:rPr>
      </w:pPr>
      <w:r>
        <w:rPr>
          <w:rFonts w:ascii="Tahoma" w:hAnsi="Tahoma" w:cs="Tahoma"/>
        </w:rPr>
        <w:t>Συνάδελφοι,</w:t>
      </w:r>
    </w:p>
    <w:p w:rsidR="00A617BC" w:rsidRDefault="00A617BC" w:rsidP="00A617BC">
      <w:pPr>
        <w:spacing w:line="360" w:lineRule="auto"/>
        <w:ind w:firstLine="720"/>
        <w:jc w:val="center"/>
        <w:rPr>
          <w:rFonts w:ascii="Arial" w:hAnsi="Arial" w:cs="Arial"/>
        </w:rPr>
      </w:pPr>
    </w:p>
    <w:p w:rsidR="00D5135A" w:rsidRPr="00D5135A" w:rsidRDefault="00D5135A" w:rsidP="00D5135A">
      <w:pPr>
        <w:ind w:left="-567" w:right="-766"/>
        <w:jc w:val="both"/>
        <w:rPr>
          <w:rFonts w:ascii="Tahoma" w:eastAsia="Times New Roman" w:hAnsi="Tahoma" w:cs="Tahoma"/>
          <w:sz w:val="22"/>
          <w:szCs w:val="22"/>
        </w:rPr>
      </w:pPr>
      <w:r w:rsidRPr="00D5135A">
        <w:rPr>
          <w:rFonts w:ascii="Tahoma" w:eastAsia="Times New Roman" w:hAnsi="Tahoma" w:cs="Tahoma"/>
          <w:sz w:val="22"/>
          <w:szCs w:val="22"/>
        </w:rPr>
        <w:t xml:space="preserve">Σας ενημερώνουμε ότι, σύμφωνα με το Μέρος Έκτο/Λοιπές Διατάξεις/εβδομηκοστό δεύτερο (72) άρθρο του Ν.4756/26.11.20 (ΦΕΚ: τεύχος Α’ 235/26.11.2020), δίνεται νέα παράταση στη θητεία των διοικητικών οργάνων των Σ.Ο. εργαζομένων, </w:t>
      </w:r>
      <w:proofErr w:type="spellStart"/>
      <w:r w:rsidRPr="00D5135A">
        <w:rPr>
          <w:rFonts w:ascii="Tahoma" w:eastAsia="Times New Roman" w:hAnsi="Tahoma" w:cs="Tahoma"/>
          <w:sz w:val="22"/>
          <w:szCs w:val="22"/>
        </w:rPr>
        <w:t>συντ</w:t>
      </w:r>
      <w:proofErr w:type="spellEnd"/>
      <w:r w:rsidRPr="00D5135A">
        <w:rPr>
          <w:rFonts w:ascii="Tahoma" w:eastAsia="Times New Roman" w:hAnsi="Tahoma" w:cs="Tahoma"/>
          <w:sz w:val="22"/>
          <w:szCs w:val="22"/>
        </w:rPr>
        <w:t>/</w:t>
      </w:r>
      <w:proofErr w:type="spellStart"/>
      <w:r w:rsidRPr="00D5135A">
        <w:rPr>
          <w:rFonts w:ascii="Tahoma" w:eastAsia="Times New Roman" w:hAnsi="Tahoma" w:cs="Tahoma"/>
          <w:sz w:val="22"/>
          <w:szCs w:val="22"/>
        </w:rPr>
        <w:t>χων</w:t>
      </w:r>
      <w:proofErr w:type="spellEnd"/>
      <w:r w:rsidRPr="00D5135A">
        <w:rPr>
          <w:rFonts w:ascii="Tahoma" w:eastAsia="Times New Roman" w:hAnsi="Tahoma" w:cs="Tahoma"/>
          <w:sz w:val="22"/>
          <w:szCs w:val="22"/>
        </w:rPr>
        <w:t xml:space="preserve"> και εργοδοτών και συγκεκριμένα </w:t>
      </w:r>
    </w:p>
    <w:p w:rsidR="00D5135A" w:rsidRPr="00D5135A" w:rsidRDefault="00D5135A" w:rsidP="00D5135A">
      <w:pPr>
        <w:ind w:left="-567" w:right="-766"/>
        <w:jc w:val="both"/>
        <w:rPr>
          <w:rFonts w:ascii="Tahoma" w:eastAsia="Times New Roman" w:hAnsi="Tahoma" w:cs="Tahoma"/>
          <w:b/>
          <w:sz w:val="22"/>
          <w:szCs w:val="22"/>
        </w:rPr>
      </w:pPr>
      <w:r w:rsidRPr="00D5135A">
        <w:rPr>
          <w:rFonts w:ascii="Tahoma" w:eastAsia="Times New Roman" w:hAnsi="Tahoma" w:cs="Tahoma"/>
          <w:sz w:val="22"/>
          <w:szCs w:val="22"/>
        </w:rPr>
        <w:t>«</w:t>
      </w:r>
      <w:r w:rsidRPr="00D5135A">
        <w:rPr>
          <w:rFonts w:ascii="Tahoma" w:eastAsia="Times New Roman" w:hAnsi="Tahoma" w:cs="Tahoma"/>
          <w:b/>
          <w:sz w:val="22"/>
          <w:szCs w:val="22"/>
        </w:rPr>
        <w:t>Άρθρο 72 Παράταση της θητείας των διοικητικών οργάνων των συνδικαλιστικών οργανώσεων εργαζομένων, συνταξιούχων και εργοδοτών.</w:t>
      </w:r>
    </w:p>
    <w:p w:rsidR="00D5135A" w:rsidRPr="00D5135A" w:rsidRDefault="00D5135A" w:rsidP="00D5135A">
      <w:pPr>
        <w:ind w:left="-567" w:right="-766"/>
        <w:jc w:val="both"/>
        <w:rPr>
          <w:rFonts w:ascii="Tahoma" w:eastAsia="Times New Roman" w:hAnsi="Tahoma" w:cs="Tahoma"/>
          <w:sz w:val="22"/>
          <w:szCs w:val="22"/>
        </w:rPr>
      </w:pPr>
      <w:r w:rsidRPr="00D5135A">
        <w:rPr>
          <w:rFonts w:ascii="Tahoma" w:eastAsia="Times New Roman" w:hAnsi="Tahoma" w:cs="Tahoma"/>
          <w:sz w:val="22"/>
          <w:szCs w:val="22"/>
        </w:rPr>
        <w:t xml:space="preserve">1. H θητεία των διοικητικών οργάνων των συνδικαλιστικών οργανώσεων του άρθρου 9 του ν. 1264/1982 (Α΄ 79) των συνταξιοδοτικών οργανώσεων, των εργοδοτικών οργανώσεων, των αιρετών οργάνων των Νομικών Προσώπων Ιδιωτικού Δικαίου (Ν.Π.Ι.Δ.) και του Ν.Π.Δ.Δ. με την επωνυμία «Ταμείο Αλληλοβοήθειας Προσωπικού του Εθνικού Τυπογραφείου», εφόσον είτε έληξε από την 11η.6.2020 και εφεξής είτε λήγει για πρώτη φορά ενόσω βρίσκονται σε ισχύ τα έκτακτα μέτρα για τον περιορισμό της διασποράς του </w:t>
      </w:r>
      <w:proofErr w:type="spellStart"/>
      <w:r w:rsidRPr="00D5135A">
        <w:rPr>
          <w:rFonts w:ascii="Tahoma" w:eastAsia="Times New Roman" w:hAnsi="Tahoma" w:cs="Tahoma"/>
          <w:sz w:val="22"/>
          <w:szCs w:val="22"/>
        </w:rPr>
        <w:t>κορωνοϊού</w:t>
      </w:r>
      <w:proofErr w:type="spellEnd"/>
      <w:r w:rsidRPr="00D5135A">
        <w:rPr>
          <w:rFonts w:ascii="Tahoma" w:eastAsia="Times New Roman" w:hAnsi="Tahoma" w:cs="Tahoma"/>
          <w:sz w:val="22"/>
          <w:szCs w:val="22"/>
        </w:rPr>
        <w:t xml:space="preserve"> COVID-19, είτε έχει ήδη παραταθεί με το άρθρο 3 του ν. 4682/2020 (A΄ 76), το άρθρο 28 του ν. 4690/2020 (Α΄ 104) και το άρθρο 25 του ν. 4722/2020 (Α΄ 177),</w:t>
      </w:r>
      <w:r w:rsidRPr="00D5135A">
        <w:rPr>
          <w:rFonts w:ascii="Tahoma" w:eastAsia="Times New Roman" w:hAnsi="Tahoma" w:cs="Tahoma"/>
          <w:b/>
          <w:bCs/>
          <w:sz w:val="22"/>
          <w:szCs w:val="22"/>
        </w:rPr>
        <w:t xml:space="preserve"> παρατείνεται έως την 30ή.6.2021.</w:t>
      </w:r>
    </w:p>
    <w:p w:rsidR="00D5135A" w:rsidRPr="00D5135A" w:rsidRDefault="00D5135A" w:rsidP="00D5135A">
      <w:pPr>
        <w:ind w:left="-567" w:right="-766"/>
        <w:jc w:val="both"/>
        <w:rPr>
          <w:rFonts w:ascii="Tahoma" w:eastAsia="Times New Roman" w:hAnsi="Tahoma" w:cs="Tahoma"/>
          <w:sz w:val="22"/>
          <w:szCs w:val="22"/>
        </w:rPr>
      </w:pPr>
      <w:r w:rsidRPr="00D5135A">
        <w:rPr>
          <w:rFonts w:ascii="Tahoma" w:eastAsia="Times New Roman" w:hAnsi="Tahoma" w:cs="Tahoma"/>
          <w:sz w:val="22"/>
          <w:szCs w:val="22"/>
        </w:rPr>
        <w:t>2. Εξαιρετικά, έως την 30ή.6.2021 οι συνεδριάσεις των Διοικητικών Συμβουλίων των συνδικαλιστικών οργανώσεων του ν. 1264/1982, των σωματείων που λειτουργούν βάσει του Α.Κ. ή των νομικών προσώπων ιδιωτικού δικαίου (Ν.Π.Ι.Δ.), όπως και των εργοδοτικών οργανώσεων, δύνανται να διεξάγονται, μετά από απόφαση των αρμόδιων οργάνων διοίκησής τους, με τη χρήση των πλέον πρόσφορων σύγχρονων ψηφιακών μέσων απομακρυσμένης συμμετοχής των μελών τους.</w:t>
      </w:r>
    </w:p>
    <w:p w:rsidR="00D5135A" w:rsidRPr="00D5135A" w:rsidRDefault="00D5135A" w:rsidP="00D5135A">
      <w:pPr>
        <w:ind w:left="-567" w:right="-766"/>
        <w:jc w:val="both"/>
        <w:rPr>
          <w:rFonts w:ascii="Tahoma" w:eastAsia="Times New Roman" w:hAnsi="Tahoma" w:cs="Tahoma"/>
          <w:sz w:val="22"/>
          <w:szCs w:val="22"/>
        </w:rPr>
      </w:pPr>
      <w:r w:rsidRPr="00D5135A">
        <w:rPr>
          <w:rFonts w:ascii="Tahoma" w:eastAsia="Times New Roman" w:hAnsi="Tahoma" w:cs="Tahoma"/>
          <w:sz w:val="22"/>
          <w:szCs w:val="22"/>
        </w:rPr>
        <w:t>3. Το άρθρο 25 του ν. 4722/2020 (Α’ 177) καταργείται».</w:t>
      </w:r>
    </w:p>
    <w:p w:rsidR="00A617BC" w:rsidRPr="00B55CC1" w:rsidRDefault="00A617BC" w:rsidP="00A617BC">
      <w:pPr>
        <w:spacing w:line="360" w:lineRule="auto"/>
        <w:jc w:val="both"/>
        <w:rPr>
          <w:rFonts w:ascii="Arial" w:hAnsi="Arial" w:cs="Arial"/>
        </w:rPr>
      </w:pPr>
    </w:p>
    <w:p w:rsidR="00DE35E1" w:rsidRPr="00D5135A" w:rsidRDefault="00DE35E1" w:rsidP="00DE35E1">
      <w:pPr>
        <w:spacing w:line="360" w:lineRule="auto"/>
        <w:jc w:val="center"/>
        <w:rPr>
          <w:rFonts w:ascii="Tahoma" w:eastAsia="Times New Roman" w:hAnsi="Tahoma" w:cs="Tahoma"/>
          <w:b/>
          <w:sz w:val="22"/>
          <w:szCs w:val="22"/>
        </w:rPr>
      </w:pPr>
      <w:r w:rsidRPr="00D5135A">
        <w:rPr>
          <w:rFonts w:ascii="Tahoma" w:eastAsia="Times New Roman" w:hAnsi="Tahoma" w:cs="Tahoma"/>
          <w:b/>
          <w:sz w:val="22"/>
          <w:szCs w:val="22"/>
        </w:rPr>
        <w:t>Για το Δ.Σ.</w:t>
      </w:r>
    </w:p>
    <w:tbl>
      <w:tblPr>
        <w:tblW w:w="0" w:type="auto"/>
        <w:jc w:val="center"/>
        <w:tblLook w:val="01E0" w:firstRow="1" w:lastRow="1" w:firstColumn="1" w:lastColumn="1" w:noHBand="0" w:noVBand="0"/>
      </w:tblPr>
      <w:tblGrid>
        <w:gridCol w:w="4261"/>
        <w:gridCol w:w="4261"/>
      </w:tblGrid>
      <w:tr w:rsidR="00DE35E1" w:rsidRPr="00D5135A" w:rsidTr="00C2102F">
        <w:trPr>
          <w:jc w:val="center"/>
        </w:trPr>
        <w:tc>
          <w:tcPr>
            <w:tcW w:w="4261" w:type="dxa"/>
            <w:shd w:val="clear" w:color="auto" w:fill="auto"/>
          </w:tcPr>
          <w:p w:rsidR="00DE35E1" w:rsidRPr="00D5135A" w:rsidRDefault="00DE35E1" w:rsidP="00DE35E1">
            <w:pPr>
              <w:jc w:val="center"/>
              <w:rPr>
                <w:rFonts w:ascii="Tahoma" w:eastAsia="Times New Roman" w:hAnsi="Tahoma" w:cs="Tahoma"/>
                <w:b/>
                <w:caps/>
                <w:sz w:val="22"/>
                <w:szCs w:val="22"/>
              </w:rPr>
            </w:pPr>
            <w:r w:rsidRPr="00D5135A">
              <w:rPr>
                <w:rFonts w:ascii="Tahoma" w:eastAsia="Times New Roman" w:hAnsi="Tahoma" w:cs="Tahoma"/>
                <w:b/>
                <w:caps/>
                <w:sz w:val="22"/>
                <w:szCs w:val="22"/>
              </w:rPr>
              <w:t>Ο  Πρόεδρος</w:t>
            </w:r>
          </w:p>
        </w:tc>
        <w:tc>
          <w:tcPr>
            <w:tcW w:w="4261" w:type="dxa"/>
            <w:shd w:val="clear" w:color="auto" w:fill="auto"/>
          </w:tcPr>
          <w:p w:rsidR="00DE35E1" w:rsidRPr="00D5135A" w:rsidRDefault="00DE35E1" w:rsidP="00DE35E1">
            <w:pPr>
              <w:jc w:val="center"/>
              <w:rPr>
                <w:rFonts w:ascii="Tahoma" w:eastAsia="Times New Roman" w:hAnsi="Tahoma" w:cs="Tahoma"/>
                <w:b/>
                <w:caps/>
                <w:sz w:val="22"/>
                <w:szCs w:val="22"/>
              </w:rPr>
            </w:pPr>
            <w:r w:rsidRPr="00D5135A">
              <w:rPr>
                <w:rFonts w:ascii="Tahoma" w:eastAsia="Times New Roman" w:hAnsi="Tahoma" w:cs="Tahoma"/>
                <w:b/>
                <w:caps/>
                <w:sz w:val="22"/>
                <w:szCs w:val="22"/>
              </w:rPr>
              <w:t>Ο  Γεν. Γραμματέας</w:t>
            </w:r>
          </w:p>
        </w:tc>
      </w:tr>
      <w:tr w:rsidR="00DE35E1" w:rsidRPr="00D5135A" w:rsidTr="00C2102F">
        <w:trPr>
          <w:jc w:val="center"/>
        </w:trPr>
        <w:tc>
          <w:tcPr>
            <w:tcW w:w="4261" w:type="dxa"/>
            <w:shd w:val="clear" w:color="auto" w:fill="auto"/>
          </w:tcPr>
          <w:p w:rsidR="00DE35E1" w:rsidRDefault="00DE35E1" w:rsidP="00DE35E1">
            <w:pPr>
              <w:jc w:val="center"/>
              <w:rPr>
                <w:rFonts w:ascii="Tahoma" w:eastAsia="Times New Roman" w:hAnsi="Tahoma" w:cs="Tahoma"/>
                <w:b/>
                <w:caps/>
                <w:sz w:val="22"/>
                <w:szCs w:val="22"/>
                <w:lang w:val="en-US"/>
              </w:rPr>
            </w:pPr>
          </w:p>
          <w:p w:rsidR="00020D7D" w:rsidRPr="00020D7D" w:rsidRDefault="00020D7D" w:rsidP="00DE35E1">
            <w:pPr>
              <w:jc w:val="center"/>
              <w:rPr>
                <w:rFonts w:ascii="Tahoma" w:eastAsia="Times New Roman" w:hAnsi="Tahoma" w:cs="Tahoma"/>
                <w:b/>
                <w:caps/>
                <w:sz w:val="22"/>
                <w:szCs w:val="22"/>
                <w:lang w:val="en-US"/>
              </w:rPr>
            </w:pPr>
            <w:bookmarkStart w:id="0" w:name="_GoBack"/>
            <w:bookmarkEnd w:id="0"/>
          </w:p>
          <w:p w:rsidR="00DE35E1" w:rsidRPr="00D5135A" w:rsidRDefault="00DE35E1" w:rsidP="00DE35E1">
            <w:pPr>
              <w:jc w:val="center"/>
              <w:rPr>
                <w:rFonts w:ascii="Tahoma" w:eastAsia="Times New Roman" w:hAnsi="Tahoma" w:cs="Tahoma"/>
                <w:b/>
                <w:caps/>
                <w:sz w:val="22"/>
                <w:szCs w:val="22"/>
              </w:rPr>
            </w:pPr>
          </w:p>
          <w:p w:rsidR="00DE35E1" w:rsidRPr="00D5135A" w:rsidRDefault="00DE35E1" w:rsidP="00DE35E1">
            <w:pPr>
              <w:jc w:val="center"/>
              <w:rPr>
                <w:rFonts w:ascii="Tahoma" w:eastAsia="Times New Roman" w:hAnsi="Tahoma" w:cs="Tahoma"/>
                <w:b/>
                <w:caps/>
                <w:sz w:val="22"/>
                <w:szCs w:val="22"/>
              </w:rPr>
            </w:pPr>
            <w:r w:rsidRPr="00D5135A">
              <w:rPr>
                <w:rFonts w:ascii="Tahoma" w:eastAsia="Times New Roman" w:hAnsi="Tahoma" w:cs="Tahoma"/>
                <w:b/>
                <w:caps/>
                <w:sz w:val="22"/>
                <w:szCs w:val="22"/>
              </w:rPr>
              <w:t>Γεώργιος Μυλωνάς</w:t>
            </w:r>
          </w:p>
        </w:tc>
        <w:tc>
          <w:tcPr>
            <w:tcW w:w="4261" w:type="dxa"/>
            <w:shd w:val="clear" w:color="auto" w:fill="auto"/>
          </w:tcPr>
          <w:p w:rsidR="00DE35E1" w:rsidRPr="00D5135A" w:rsidRDefault="00DE35E1" w:rsidP="00DE35E1">
            <w:pPr>
              <w:jc w:val="center"/>
              <w:rPr>
                <w:rFonts w:ascii="Tahoma" w:eastAsia="Times New Roman" w:hAnsi="Tahoma" w:cs="Tahoma"/>
                <w:b/>
                <w:caps/>
                <w:sz w:val="22"/>
                <w:szCs w:val="22"/>
              </w:rPr>
            </w:pPr>
          </w:p>
          <w:p w:rsidR="00DE35E1" w:rsidRDefault="00DE35E1" w:rsidP="00DE35E1">
            <w:pPr>
              <w:jc w:val="center"/>
              <w:rPr>
                <w:rFonts w:ascii="Tahoma" w:eastAsia="Times New Roman" w:hAnsi="Tahoma" w:cs="Tahoma"/>
                <w:b/>
                <w:caps/>
                <w:sz w:val="22"/>
                <w:szCs w:val="22"/>
                <w:lang w:val="en-US"/>
              </w:rPr>
            </w:pPr>
          </w:p>
          <w:p w:rsidR="00020D7D" w:rsidRPr="00020D7D" w:rsidRDefault="00020D7D" w:rsidP="00DE35E1">
            <w:pPr>
              <w:jc w:val="center"/>
              <w:rPr>
                <w:rFonts w:ascii="Tahoma" w:eastAsia="Times New Roman" w:hAnsi="Tahoma" w:cs="Tahoma"/>
                <w:b/>
                <w:caps/>
                <w:sz w:val="22"/>
                <w:szCs w:val="22"/>
                <w:lang w:val="en-US"/>
              </w:rPr>
            </w:pPr>
          </w:p>
          <w:p w:rsidR="00DE35E1" w:rsidRPr="00D5135A" w:rsidRDefault="00DE35E1" w:rsidP="00DE35E1">
            <w:pPr>
              <w:jc w:val="center"/>
              <w:rPr>
                <w:rFonts w:ascii="Tahoma" w:eastAsia="Times New Roman" w:hAnsi="Tahoma" w:cs="Tahoma"/>
                <w:b/>
                <w:caps/>
                <w:sz w:val="22"/>
                <w:szCs w:val="22"/>
              </w:rPr>
            </w:pPr>
            <w:r w:rsidRPr="00D5135A">
              <w:rPr>
                <w:rFonts w:ascii="Tahoma" w:eastAsia="Times New Roman" w:hAnsi="Tahoma" w:cs="Tahoma"/>
                <w:b/>
                <w:caps/>
                <w:sz w:val="22"/>
                <w:szCs w:val="22"/>
              </w:rPr>
              <w:t>Κωνσταντίνος Κουλούρης</w:t>
            </w:r>
          </w:p>
        </w:tc>
      </w:tr>
    </w:tbl>
    <w:p w:rsidR="00DE35E1" w:rsidRPr="00DE35E1" w:rsidRDefault="00DE35E1" w:rsidP="00DE35E1">
      <w:pPr>
        <w:jc w:val="center"/>
        <w:rPr>
          <w:rFonts w:ascii="Tahoma" w:eastAsia="Times New Roman" w:hAnsi="Tahoma" w:cs="Tahoma"/>
          <w:sz w:val="28"/>
          <w:szCs w:val="28"/>
        </w:rPr>
      </w:pPr>
    </w:p>
    <w:p w:rsidR="002E2428" w:rsidRPr="001D6597" w:rsidRDefault="002E2428" w:rsidP="00DE35E1">
      <w:pPr>
        <w:ind w:left="-567" w:right="-766"/>
        <w:jc w:val="center"/>
        <w:rPr>
          <w:rFonts w:ascii="Tahoma" w:hAnsi="Tahoma" w:cs="Tahoma"/>
        </w:rPr>
      </w:pPr>
    </w:p>
    <w:sectPr w:rsidR="002E2428" w:rsidRPr="001D65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4BD"/>
    <w:multiLevelType w:val="hybridMultilevel"/>
    <w:tmpl w:val="1A2EA17C"/>
    <w:lvl w:ilvl="0" w:tplc="E3782CE0">
      <w:start w:val="1"/>
      <w:numFmt w:val="bullet"/>
      <w:lvlText w:val=""/>
      <w:lvlJc w:val="righ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3861241"/>
    <w:multiLevelType w:val="multilevel"/>
    <w:tmpl w:val="DB18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12B36"/>
    <w:multiLevelType w:val="hybridMultilevel"/>
    <w:tmpl w:val="EAE4CF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0D7D"/>
    <w:rsid w:val="001C705E"/>
    <w:rsid w:val="001D6597"/>
    <w:rsid w:val="002E2428"/>
    <w:rsid w:val="005039DF"/>
    <w:rsid w:val="00526EE0"/>
    <w:rsid w:val="0063329D"/>
    <w:rsid w:val="006A3C93"/>
    <w:rsid w:val="00875477"/>
    <w:rsid w:val="00A23749"/>
    <w:rsid w:val="00A617BC"/>
    <w:rsid w:val="00CE7F29"/>
    <w:rsid w:val="00D5135A"/>
    <w:rsid w:val="00DA6EC1"/>
    <w:rsid w:val="00DE35E1"/>
    <w:rsid w:val="00E76787"/>
    <w:rsid w:val="00ED1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character" w:styleId="a3">
    <w:name w:val="Strong"/>
    <w:uiPriority w:val="22"/>
    <w:qFormat/>
    <w:rsid w:val="001D6597"/>
    <w:rPr>
      <w:b/>
      <w:bCs/>
    </w:rPr>
  </w:style>
  <w:style w:type="paragraph" w:styleId="a4">
    <w:name w:val="List Paragraph"/>
    <w:basedOn w:val="a"/>
    <w:uiPriority w:val="34"/>
    <w:qFormat/>
    <w:rsid w:val="00A617BC"/>
    <w:pPr>
      <w:spacing w:after="160" w:line="259" w:lineRule="auto"/>
      <w:ind w:left="720"/>
      <w:contextualSpacing/>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character" w:styleId="a3">
    <w:name w:val="Strong"/>
    <w:uiPriority w:val="22"/>
    <w:qFormat/>
    <w:rsid w:val="001D6597"/>
    <w:rPr>
      <w:b/>
      <w:bCs/>
    </w:rPr>
  </w:style>
  <w:style w:type="paragraph" w:styleId="a4">
    <w:name w:val="List Paragraph"/>
    <w:basedOn w:val="a"/>
    <w:uiPriority w:val="34"/>
    <w:qFormat/>
    <w:rsid w:val="00A617BC"/>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5028">
      <w:bodyDiv w:val="1"/>
      <w:marLeft w:val="0"/>
      <w:marRight w:val="0"/>
      <w:marTop w:val="0"/>
      <w:marBottom w:val="0"/>
      <w:divBdr>
        <w:top w:val="none" w:sz="0" w:space="0" w:color="auto"/>
        <w:left w:val="none" w:sz="0" w:space="0" w:color="auto"/>
        <w:bottom w:val="none" w:sz="0" w:space="0" w:color="auto"/>
        <w:right w:val="none" w:sz="0" w:space="0" w:color="auto"/>
      </w:divBdr>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1669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2020-02-02T11:42:00Z</cp:lastPrinted>
  <dcterms:created xsi:type="dcterms:W3CDTF">2020-12-02T09:10:00Z</dcterms:created>
  <dcterms:modified xsi:type="dcterms:W3CDTF">2020-12-02T09:29:00Z</dcterms:modified>
</cp:coreProperties>
</file>